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6F5" w:rsidRPr="003B26F5" w:rsidRDefault="003B26F5" w:rsidP="00B117BC">
      <w:pPr>
        <w:pStyle w:val="1"/>
        <w:rPr>
          <w:rFonts w:eastAsia="Times New Roman"/>
        </w:rPr>
      </w:pPr>
      <w:r w:rsidRPr="003B26F5">
        <w:rPr>
          <w:rFonts w:eastAsia="Times New Roman"/>
        </w:rPr>
        <w:t>Приложение 2 к тендерной документации</w:t>
      </w: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 xml:space="preserve">1) Товар должен быть зарегистрирован в Республике Казахстан и готов к применению в соответствии с Кодексом Республики Казахстан </w:t>
      </w:r>
      <w:r w:rsidR="008D6F7C" w:rsidRPr="008D6F7C">
        <w:rPr>
          <w:rFonts w:ascii="Times New Roman" w:eastAsia="Times New Roman" w:hAnsi="Times New Roman" w:cs="Times New Roman"/>
          <w:color w:val="000000"/>
          <w:sz w:val="20"/>
          <w:szCs w:val="20"/>
        </w:rPr>
        <w:t xml:space="preserve">от 7 июля 2020 года </w:t>
      </w:r>
      <w:r w:rsidRPr="003B26F5">
        <w:rPr>
          <w:rFonts w:ascii="Times New Roman" w:eastAsia="Times New Roman" w:hAnsi="Times New Roman" w:cs="Times New Roman"/>
          <w:color w:val="000000"/>
          <w:sz w:val="20"/>
          <w:szCs w:val="20"/>
        </w:rPr>
        <w:t>«О здоровье народа и системе здравоохранения» №</w:t>
      </w:r>
      <w:r w:rsidR="008D6F7C" w:rsidRPr="008D6F7C">
        <w:rPr>
          <w:rFonts w:ascii="Times New Roman" w:eastAsia="Times New Roman" w:hAnsi="Times New Roman" w:cs="Times New Roman"/>
          <w:color w:val="000000"/>
          <w:sz w:val="20"/>
          <w:szCs w:val="20"/>
        </w:rPr>
        <w:t xml:space="preserve">360-VI </w:t>
      </w:r>
      <w:r w:rsidRPr="003B26F5">
        <w:rPr>
          <w:rFonts w:ascii="Times New Roman" w:eastAsia="Times New Roman" w:hAnsi="Times New Roman" w:cs="Times New Roman"/>
          <w:color w:val="000000"/>
          <w:sz w:val="20"/>
          <w:szCs w:val="20"/>
        </w:rPr>
        <w:t>(далее – Кодекс) и порядком государственной регистрации, установленным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2) Товары, требующие хранения при низких температурах и защиты от замораживания, должны хранится и перевозится в специальных емкостях для обеспечения сохранности от пункта до пункта конечного назначения, а также обеспечения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3) Маркировка, потребительская упаковка и инструкция по применению Товаров должны соответствовать требованиям Кодекса и порядку, установленному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4) Остаточный срок годности Товаров должен составлять не менее пятидесяти процентов от указанного срока годности на упаковке (при сроке годности менее двух лет), а также не менее двенадцати месяцев от указанного срока годности на упаковке (при сроке годности два года и более);</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5) Наличие разрешения,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(правоспособность Поставщика).</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6)  Лекарственные средства или медицинские изделия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b/>
          <w:bCs/>
          <w:color w:val="000000"/>
          <w:sz w:val="20"/>
          <w:szCs w:val="20"/>
        </w:rPr>
        <w:t>Сопутствующие услуги:</w:t>
      </w:r>
      <w:r w:rsidRPr="003B26F5">
        <w:rPr>
          <w:rFonts w:ascii="Times New Roman" w:eastAsia="Times New Roman" w:hAnsi="Times New Roman" w:cs="Times New Roman"/>
          <w:color w:val="000000"/>
          <w:sz w:val="20"/>
          <w:szCs w:val="20"/>
        </w:rPr>
        <w:t xml:space="preserve"> доставка, разгрузка товара на склад Заказчика, обучение персонала по правильному использованию (в случае необходимости).</w:t>
      </w:r>
    </w:p>
    <w:p w:rsid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p w:rsidR="003B26F5" w:rsidRP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619"/>
        <w:gridCol w:w="11996"/>
      </w:tblGrid>
      <w:tr w:rsidR="00687590" w:rsidRPr="006D485E" w:rsidTr="00E74A65">
        <w:trPr>
          <w:trHeight w:val="170"/>
        </w:trPr>
        <w:tc>
          <w:tcPr>
            <w:tcW w:w="852"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 лота</w:t>
            </w:r>
          </w:p>
        </w:tc>
        <w:tc>
          <w:tcPr>
            <w:tcW w:w="2619"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Наименование товара</w:t>
            </w:r>
          </w:p>
        </w:tc>
        <w:tc>
          <w:tcPr>
            <w:tcW w:w="11996"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Полная характеристика (описание) товара</w:t>
            </w:r>
          </w:p>
        </w:tc>
      </w:tr>
      <w:tr w:rsidR="0095637F" w:rsidRPr="006D485E" w:rsidTr="006A1100">
        <w:trPr>
          <w:trHeight w:val="170"/>
        </w:trPr>
        <w:tc>
          <w:tcPr>
            <w:tcW w:w="852" w:type="dxa"/>
            <w:shd w:val="clear" w:color="auto" w:fill="auto"/>
          </w:tcPr>
          <w:p w:rsidR="0095637F" w:rsidRPr="006D485E" w:rsidRDefault="0095637F" w:rsidP="0095637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bookmarkStart w:id="0" w:name="_GoBack" w:colFirst="1" w:colLast="1"/>
          </w:p>
        </w:tc>
        <w:tc>
          <w:tcPr>
            <w:tcW w:w="2619" w:type="dxa"/>
            <w:tcBorders>
              <w:top w:val="nil"/>
              <w:left w:val="nil"/>
              <w:bottom w:val="single" w:sz="4" w:space="0" w:color="auto"/>
              <w:right w:val="single" w:sz="4" w:space="0" w:color="auto"/>
            </w:tcBorders>
            <w:shd w:val="clear" w:color="000000" w:fill="FFFFFF"/>
            <w:vAlign w:val="center"/>
          </w:tcPr>
          <w:p w:rsidR="0095637F" w:rsidRPr="009A6527" w:rsidRDefault="0095637F" w:rsidP="0095637F">
            <w:pPr>
              <w:pStyle w:val="ab"/>
              <w:rPr>
                <w:rFonts w:ascii="Times New Roman" w:hAnsi="Times New Roman"/>
                <w:sz w:val="20"/>
                <w:szCs w:val="20"/>
              </w:rPr>
            </w:pPr>
            <w:r w:rsidRPr="0081527A">
              <w:rPr>
                <w:rFonts w:ascii="Times New Roman" w:hAnsi="Times New Roman"/>
                <w:sz w:val="20"/>
                <w:szCs w:val="20"/>
              </w:rPr>
              <w:t>Набор реагентов для количественного определения маркера сепсиса Presepsin</w:t>
            </w:r>
          </w:p>
        </w:tc>
        <w:tc>
          <w:tcPr>
            <w:tcW w:w="11996" w:type="dxa"/>
            <w:tcBorders>
              <w:top w:val="nil"/>
              <w:left w:val="nil"/>
              <w:bottom w:val="single" w:sz="4" w:space="0" w:color="auto"/>
              <w:right w:val="single" w:sz="4" w:space="0" w:color="auto"/>
            </w:tcBorders>
            <w:shd w:val="clear" w:color="000000" w:fill="FFFFFF"/>
          </w:tcPr>
          <w:p w:rsidR="0095637F" w:rsidRPr="0081527A" w:rsidRDefault="0095637F" w:rsidP="0095637F">
            <w:pPr>
              <w:spacing w:line="256" w:lineRule="auto"/>
              <w:rPr>
                <w:rFonts w:ascii="Times New Roman" w:hAnsi="Times New Roman"/>
                <w:sz w:val="20"/>
                <w:szCs w:val="20"/>
              </w:rPr>
            </w:pPr>
            <w:r w:rsidRPr="0081527A">
              <w:rPr>
                <w:rFonts w:ascii="Times New Roman" w:hAnsi="Times New Roman"/>
                <w:sz w:val="20"/>
                <w:szCs w:val="20"/>
              </w:rPr>
              <w:t>Набор реагентов для количественного определения сепсиса Presepsin</w:t>
            </w:r>
          </w:p>
          <w:p w:rsidR="0095637F" w:rsidRPr="0081527A" w:rsidRDefault="0095637F" w:rsidP="0095637F">
            <w:pPr>
              <w:spacing w:line="256" w:lineRule="auto"/>
              <w:rPr>
                <w:rFonts w:ascii="Times New Roman" w:hAnsi="Times New Roman"/>
                <w:sz w:val="20"/>
                <w:szCs w:val="20"/>
              </w:rPr>
            </w:pPr>
            <w:r w:rsidRPr="0081527A">
              <w:rPr>
                <w:rFonts w:ascii="Times New Roman" w:hAnsi="Times New Roman"/>
                <w:sz w:val="20"/>
                <w:szCs w:val="20"/>
              </w:rPr>
              <w:t xml:space="preserve">Используется только при работе на анализаторе «Малогабаритный иммунохимический анализатор </w:t>
            </w:r>
            <w:r w:rsidRPr="0081527A">
              <w:rPr>
                <w:rFonts w:ascii="Times New Roman" w:hAnsi="Times New Roman"/>
                <w:sz w:val="20"/>
                <w:szCs w:val="20"/>
                <w:lang w:val="en-US"/>
              </w:rPr>
              <w:t>Pathfast</w:t>
            </w:r>
            <w:r w:rsidRPr="0081527A">
              <w:rPr>
                <w:rFonts w:ascii="Times New Roman" w:hAnsi="Times New Roman"/>
                <w:sz w:val="20"/>
                <w:szCs w:val="20"/>
              </w:rPr>
              <w:t xml:space="preserve">» </w:t>
            </w:r>
          </w:p>
          <w:p w:rsidR="0095637F" w:rsidRPr="0081527A" w:rsidRDefault="0095637F" w:rsidP="0095637F">
            <w:pPr>
              <w:spacing w:line="256" w:lineRule="auto"/>
              <w:rPr>
                <w:rFonts w:ascii="Times New Roman" w:hAnsi="Times New Roman"/>
                <w:sz w:val="20"/>
                <w:szCs w:val="20"/>
              </w:rPr>
            </w:pPr>
            <w:r w:rsidRPr="0081527A">
              <w:rPr>
                <w:rFonts w:ascii="Times New Roman" w:hAnsi="Times New Roman"/>
                <w:sz w:val="20"/>
                <w:szCs w:val="20"/>
              </w:rPr>
              <w:t>Новый ранний маркер сепсиса и септического шока, количественно отражающий тяжесть фагоцитоза и бактериемии. Этот гуморальный белок показывает динамику сепсиса раньше и быстрее, чем другие известные маркеры. Уровень пресепсина (ПСП) в крови быстро повышается или снижается в ответ на уровень бактериемии при грам-положительном и грам-отрицательном сепсисе.</w:t>
            </w:r>
          </w:p>
          <w:p w:rsidR="0095637F" w:rsidRPr="0081527A" w:rsidRDefault="0095637F" w:rsidP="0095637F">
            <w:pPr>
              <w:spacing w:line="256" w:lineRule="auto"/>
              <w:rPr>
                <w:rFonts w:ascii="Times New Roman" w:hAnsi="Times New Roman"/>
                <w:sz w:val="20"/>
                <w:szCs w:val="20"/>
              </w:rPr>
            </w:pPr>
            <w:r w:rsidRPr="0081527A">
              <w:rPr>
                <w:rFonts w:ascii="Times New Roman" w:hAnsi="Times New Roman"/>
                <w:sz w:val="20"/>
                <w:szCs w:val="20"/>
              </w:rPr>
              <w:t xml:space="preserve">Измерение уровня ПСП возможно только на анализаторе </w:t>
            </w:r>
            <w:r w:rsidRPr="0081527A">
              <w:rPr>
                <w:rFonts w:ascii="Times New Roman" w:hAnsi="Times New Roman"/>
                <w:sz w:val="20"/>
                <w:szCs w:val="20"/>
                <w:lang w:val="en-US"/>
              </w:rPr>
              <w:t>PATHFAST</w:t>
            </w:r>
            <w:r w:rsidRPr="0081527A">
              <w:rPr>
                <w:rFonts w:ascii="Times New Roman" w:hAnsi="Times New Roman"/>
                <w:sz w:val="20"/>
                <w:szCs w:val="20"/>
              </w:rPr>
              <w:t>!</w:t>
            </w:r>
          </w:p>
          <w:p w:rsidR="0095637F" w:rsidRPr="0081527A" w:rsidRDefault="0095637F" w:rsidP="0095637F">
            <w:pPr>
              <w:spacing w:line="256" w:lineRule="auto"/>
              <w:rPr>
                <w:rFonts w:ascii="Times New Roman" w:hAnsi="Times New Roman"/>
                <w:sz w:val="20"/>
                <w:szCs w:val="20"/>
              </w:rPr>
            </w:pPr>
            <w:r w:rsidRPr="0081527A">
              <w:rPr>
                <w:rFonts w:ascii="Times New Roman" w:hAnsi="Times New Roman"/>
                <w:sz w:val="20"/>
                <w:szCs w:val="20"/>
              </w:rPr>
              <w:t>Пресепсин быстро и точно диагностирует:</w:t>
            </w:r>
          </w:p>
          <w:p w:rsidR="0095637F" w:rsidRPr="0081527A" w:rsidRDefault="0095637F" w:rsidP="0095637F">
            <w:pPr>
              <w:spacing w:line="256" w:lineRule="auto"/>
              <w:rPr>
                <w:rFonts w:ascii="Times New Roman" w:hAnsi="Times New Roman"/>
                <w:sz w:val="20"/>
                <w:szCs w:val="20"/>
              </w:rPr>
            </w:pPr>
            <w:r w:rsidRPr="0081527A">
              <w:rPr>
                <w:rFonts w:ascii="Times New Roman" w:hAnsi="Times New Roman"/>
                <w:sz w:val="20"/>
                <w:szCs w:val="20"/>
              </w:rPr>
              <w:t>локальную инфекцию;</w:t>
            </w:r>
          </w:p>
          <w:p w:rsidR="0095637F" w:rsidRPr="0081527A" w:rsidRDefault="0095637F" w:rsidP="0095637F">
            <w:pPr>
              <w:spacing w:line="256" w:lineRule="auto"/>
              <w:rPr>
                <w:rFonts w:ascii="Times New Roman" w:hAnsi="Times New Roman"/>
                <w:sz w:val="20"/>
                <w:szCs w:val="20"/>
              </w:rPr>
            </w:pPr>
            <w:r w:rsidRPr="0081527A">
              <w:rPr>
                <w:rFonts w:ascii="Times New Roman" w:hAnsi="Times New Roman"/>
                <w:sz w:val="20"/>
                <w:szCs w:val="20"/>
              </w:rPr>
              <w:t>сепсис;</w:t>
            </w:r>
          </w:p>
          <w:p w:rsidR="0095637F" w:rsidRPr="0081527A" w:rsidRDefault="0095637F" w:rsidP="0095637F">
            <w:pPr>
              <w:spacing w:line="256" w:lineRule="auto"/>
              <w:rPr>
                <w:rFonts w:ascii="Times New Roman" w:hAnsi="Times New Roman"/>
                <w:sz w:val="20"/>
                <w:szCs w:val="20"/>
              </w:rPr>
            </w:pPr>
            <w:r w:rsidRPr="0081527A">
              <w:rPr>
                <w:rFonts w:ascii="Times New Roman" w:hAnsi="Times New Roman"/>
                <w:sz w:val="20"/>
                <w:szCs w:val="20"/>
              </w:rPr>
              <w:t>септический шок и дифференцирует их от синдрома системного воспалительного ответа (ССВО), не связанного с инфекциями</w:t>
            </w:r>
          </w:p>
          <w:p w:rsidR="0095637F" w:rsidRPr="0081527A" w:rsidRDefault="0095637F" w:rsidP="0095637F">
            <w:pPr>
              <w:spacing w:line="256" w:lineRule="auto"/>
              <w:rPr>
                <w:rFonts w:ascii="Times New Roman" w:hAnsi="Times New Roman"/>
                <w:sz w:val="20"/>
                <w:szCs w:val="20"/>
              </w:rPr>
            </w:pPr>
            <w:r w:rsidRPr="0081527A">
              <w:rPr>
                <w:rFonts w:ascii="Times New Roman" w:hAnsi="Times New Roman"/>
                <w:sz w:val="20"/>
                <w:szCs w:val="20"/>
              </w:rPr>
              <w:t>Пресепсин не повышается:</w:t>
            </w:r>
          </w:p>
          <w:p w:rsidR="0095637F" w:rsidRPr="0081527A" w:rsidRDefault="0095637F" w:rsidP="0095637F">
            <w:pPr>
              <w:spacing w:line="256" w:lineRule="auto"/>
              <w:rPr>
                <w:rFonts w:ascii="Times New Roman" w:hAnsi="Times New Roman"/>
                <w:sz w:val="20"/>
                <w:szCs w:val="20"/>
              </w:rPr>
            </w:pPr>
            <w:r w:rsidRPr="0081527A">
              <w:rPr>
                <w:rFonts w:ascii="Times New Roman" w:hAnsi="Times New Roman"/>
                <w:sz w:val="20"/>
                <w:szCs w:val="20"/>
              </w:rPr>
              <w:t>при воспалениях, не связанных с фагоцитозом;</w:t>
            </w:r>
          </w:p>
          <w:p w:rsidR="0095637F" w:rsidRPr="0081527A" w:rsidRDefault="0095637F" w:rsidP="0095637F">
            <w:pPr>
              <w:spacing w:line="256" w:lineRule="auto"/>
              <w:rPr>
                <w:rFonts w:ascii="Times New Roman" w:hAnsi="Times New Roman"/>
                <w:sz w:val="20"/>
                <w:szCs w:val="20"/>
              </w:rPr>
            </w:pPr>
            <w:r w:rsidRPr="0081527A">
              <w:rPr>
                <w:rFonts w:ascii="Times New Roman" w:hAnsi="Times New Roman"/>
                <w:sz w:val="20"/>
                <w:szCs w:val="20"/>
              </w:rPr>
              <w:t>при ССВО;</w:t>
            </w:r>
          </w:p>
          <w:p w:rsidR="0095637F" w:rsidRPr="0081527A" w:rsidRDefault="0095637F" w:rsidP="0095637F">
            <w:pPr>
              <w:spacing w:line="256" w:lineRule="auto"/>
              <w:rPr>
                <w:rFonts w:ascii="Times New Roman" w:hAnsi="Times New Roman"/>
                <w:sz w:val="20"/>
                <w:szCs w:val="20"/>
              </w:rPr>
            </w:pPr>
            <w:r w:rsidRPr="0081527A">
              <w:rPr>
                <w:rFonts w:ascii="Times New Roman" w:hAnsi="Times New Roman"/>
                <w:sz w:val="20"/>
                <w:szCs w:val="20"/>
              </w:rPr>
              <w:t>при вирусной инфекции;</w:t>
            </w:r>
          </w:p>
          <w:p w:rsidR="0095637F" w:rsidRPr="0081527A" w:rsidRDefault="0095637F" w:rsidP="0095637F">
            <w:pPr>
              <w:spacing w:line="256" w:lineRule="auto"/>
              <w:rPr>
                <w:rFonts w:ascii="Times New Roman" w:hAnsi="Times New Roman"/>
                <w:sz w:val="20"/>
                <w:szCs w:val="20"/>
              </w:rPr>
            </w:pPr>
            <w:r w:rsidRPr="0081527A">
              <w:rPr>
                <w:rFonts w:ascii="Times New Roman" w:hAnsi="Times New Roman"/>
                <w:sz w:val="20"/>
                <w:szCs w:val="20"/>
              </w:rPr>
              <w:t>при тепловом шоке и лихорадке.</w:t>
            </w:r>
          </w:p>
          <w:p w:rsidR="0095637F" w:rsidRPr="0081527A" w:rsidRDefault="0095637F" w:rsidP="0095637F">
            <w:pPr>
              <w:spacing w:line="256" w:lineRule="auto"/>
              <w:rPr>
                <w:rFonts w:ascii="Times New Roman" w:hAnsi="Times New Roman"/>
                <w:sz w:val="20"/>
                <w:szCs w:val="20"/>
              </w:rPr>
            </w:pPr>
            <w:r w:rsidRPr="0081527A">
              <w:rPr>
                <w:rFonts w:ascii="Times New Roman" w:hAnsi="Times New Roman"/>
                <w:sz w:val="20"/>
                <w:szCs w:val="20"/>
              </w:rPr>
              <w:t>Диапазон измерения 20-20 000 пг/мл</w:t>
            </w:r>
          </w:p>
        </w:tc>
      </w:tr>
      <w:bookmarkEnd w:id="0"/>
      <w:tr w:rsidR="0095637F" w:rsidRPr="006D485E" w:rsidTr="006A1100">
        <w:trPr>
          <w:trHeight w:val="170"/>
        </w:trPr>
        <w:tc>
          <w:tcPr>
            <w:tcW w:w="852" w:type="dxa"/>
            <w:tcBorders>
              <w:right w:val="single" w:sz="4" w:space="0" w:color="auto"/>
            </w:tcBorders>
            <w:shd w:val="clear" w:color="auto" w:fill="auto"/>
          </w:tcPr>
          <w:p w:rsidR="0095637F" w:rsidRPr="006D485E" w:rsidRDefault="0095637F" w:rsidP="0095637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tcPr>
          <w:p w:rsidR="0095637F" w:rsidRPr="00893C48" w:rsidRDefault="0095637F" w:rsidP="0095637F">
            <w:pPr>
              <w:jc w:val="both"/>
              <w:rPr>
                <w:rFonts w:ascii="Times New Roman" w:hAnsi="Times New Roman"/>
                <w:bCs/>
                <w:sz w:val="20"/>
                <w:szCs w:val="20"/>
              </w:rPr>
            </w:pPr>
            <w:r w:rsidRPr="00893C48">
              <w:rPr>
                <w:rFonts w:ascii="Times New Roman" w:hAnsi="Times New Roman"/>
                <w:bCs/>
                <w:sz w:val="20"/>
                <w:szCs w:val="20"/>
              </w:rPr>
              <w:t>Перчатки стерильные хирургические</w:t>
            </w:r>
          </w:p>
        </w:tc>
        <w:tc>
          <w:tcPr>
            <w:tcW w:w="11996" w:type="dxa"/>
            <w:tcBorders>
              <w:top w:val="nil"/>
              <w:left w:val="nil"/>
              <w:bottom w:val="single" w:sz="4" w:space="0" w:color="auto"/>
              <w:right w:val="single" w:sz="4" w:space="0" w:color="auto"/>
            </w:tcBorders>
            <w:shd w:val="clear" w:color="000000" w:fill="FFFFFF"/>
          </w:tcPr>
          <w:p w:rsidR="0095637F" w:rsidRPr="00893C48" w:rsidRDefault="0095637F" w:rsidP="0095637F">
            <w:pPr>
              <w:jc w:val="both"/>
              <w:rPr>
                <w:rFonts w:ascii="Times New Roman" w:hAnsi="Times New Roman"/>
                <w:sz w:val="20"/>
                <w:szCs w:val="20"/>
              </w:rPr>
            </w:pPr>
            <w:r w:rsidRPr="00893C48">
              <w:rPr>
                <w:rFonts w:ascii="Times New Roman" w:hAnsi="Times New Roman"/>
                <w:sz w:val="20"/>
                <w:szCs w:val="20"/>
              </w:rPr>
              <w:t xml:space="preserve">Перчатки латексные, анатомической формы, хирургические, стерильные, неопудренные, текстурированные, повышенной чувствительности -на 20% тоньше обычной хирургической перчатки, внутренняя поверхность – хлорированная, толщина: средний палец- 0,17мм, ладонь-0, 16мм, манжета-0,175 мм, цвет - светло-коричневый, матовый, длина 285 мм, уплотненная манжета без валика с клейкой полоской, должны соответствовать международным стандартам: EN455части 1,2,3,4, уровень контроля AQL 1,5, содержание белка &lt; 30 мкг/г при использовании метода Modified Lowry и ВЭЖХ, ISO 10993-11, ISO 10993-10, ASTM F-1671, EN 374 части 1, 2, 3, EN 420, EN 556, ISO 11137-1, ISO 13485, ISO 14001, ISO 9001. Размеры по согласованию с Заказчиком. Перчатки хирургические из натурального каучукового латекса стерильные для хирургических операций, требующие высочайшей тактильной чувствительности. Поверхность перчатки без опудривания для профилактики контактного дерматита. Одинарная толщина (в области пальцев) не более 0,17 мм для обеспечения высокой тактильной чувствительности. Перчатки анатомически правильной формы с расположением большого пальца в направлении ладони, пальцы прямые. Текстурный рисунок должен быть нанесен по всей наружной поверхности перчаток для улучшенного захвата инструментов. Цвет перчатки коричневый для поглощения световых бликов. Краситель не токсичен. Манжета перчатки без валика с адгезивной полосой для препятствия скатывания и сползания перчатки в процессе операции. Толщина перчатки в области манжеты не менее 0,17 мм для обеспечения прочности при надевании и в процессе использования. Упаковка перчаток пластиковая, устойчивая к механическим повреждениям и проникновению озона, газов и влаги. Метод стерилизации радиационный. Класс потенциального риска применения не ниже 2а в соответствии с регистрационным удостоверением. </w:t>
            </w:r>
            <w:r>
              <w:rPr>
                <w:rFonts w:ascii="Times New Roman" w:hAnsi="Times New Roman"/>
                <w:sz w:val="20"/>
                <w:szCs w:val="20"/>
              </w:rPr>
              <w:t>Перчатки должны быть без запаха, не вызывать аллергические реакции, в том числе анафилактический шок..</w:t>
            </w:r>
          </w:p>
        </w:tc>
      </w:tr>
      <w:tr w:rsidR="0095637F" w:rsidRPr="006D485E" w:rsidTr="00E82466">
        <w:trPr>
          <w:trHeight w:val="170"/>
        </w:trPr>
        <w:tc>
          <w:tcPr>
            <w:tcW w:w="852" w:type="dxa"/>
            <w:tcBorders>
              <w:right w:val="single" w:sz="4" w:space="0" w:color="auto"/>
            </w:tcBorders>
            <w:shd w:val="clear" w:color="auto" w:fill="auto"/>
          </w:tcPr>
          <w:p w:rsidR="0095637F" w:rsidRPr="006D485E" w:rsidRDefault="0095637F" w:rsidP="0095637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95637F" w:rsidRPr="009A6527" w:rsidRDefault="0095637F" w:rsidP="0095637F">
            <w:pPr>
              <w:pStyle w:val="ab"/>
              <w:rPr>
                <w:rFonts w:ascii="Times New Roman" w:hAnsi="Times New Roman"/>
                <w:sz w:val="20"/>
                <w:szCs w:val="20"/>
              </w:rPr>
            </w:pPr>
            <w:r w:rsidRPr="009A6527">
              <w:rPr>
                <w:rFonts w:ascii="Times New Roman" w:hAnsi="Times New Roman"/>
                <w:sz w:val="20"/>
                <w:szCs w:val="20"/>
              </w:rPr>
              <w:t>Комплект операционный одноразовый стерильный для лапаротомии</w:t>
            </w:r>
          </w:p>
        </w:tc>
        <w:tc>
          <w:tcPr>
            <w:tcW w:w="11996" w:type="dxa"/>
            <w:tcBorders>
              <w:top w:val="nil"/>
              <w:left w:val="nil"/>
              <w:bottom w:val="single" w:sz="4" w:space="0" w:color="auto"/>
              <w:right w:val="single" w:sz="4" w:space="0" w:color="auto"/>
            </w:tcBorders>
            <w:shd w:val="clear" w:color="000000" w:fill="FFFFFF"/>
            <w:vAlign w:val="center"/>
          </w:tcPr>
          <w:p w:rsidR="0095637F" w:rsidRPr="009A6527" w:rsidRDefault="0095637F" w:rsidP="0095637F">
            <w:pPr>
              <w:pStyle w:val="ab"/>
              <w:jc w:val="both"/>
              <w:rPr>
                <w:rFonts w:ascii="Times New Roman" w:hAnsi="Times New Roman"/>
                <w:sz w:val="20"/>
                <w:szCs w:val="20"/>
              </w:rPr>
            </w:pPr>
            <w:r w:rsidRPr="009A6527">
              <w:rPr>
                <w:rFonts w:ascii="Times New Roman" w:hAnsi="Times New Roman"/>
                <w:sz w:val="20"/>
                <w:szCs w:val="20"/>
              </w:rPr>
              <w:t>1. Простыня большая операционная 200×330 см для лапароскопии изготовленная из многослойного, впитывающего по всей поверхности с одной стороны и влагонепроницаемого с другой, антистатически обработанного, устойчивого к отслаиванию, безворсового, гипоаллергенного нетканого материала не ниже 54 плотности с отверстием 26×32 см, с впитывающей вставкой 60×50 см, с двумя карманами 66×30 смиз прозрачной полиэтиленовой пленки, с липким краем вокруг отверстия с изнаночной стороны простыни. Имеются стикеры головной и ножной части – 1 шт</w:t>
            </w:r>
            <w:r w:rsidRPr="009A6527">
              <w:rPr>
                <w:rFonts w:ascii="Times New Roman" w:hAnsi="Times New Roman"/>
                <w:sz w:val="20"/>
                <w:szCs w:val="20"/>
                <w:lang w:val="kk-KZ"/>
              </w:rPr>
              <w:t xml:space="preserve"> </w:t>
            </w:r>
            <w:r w:rsidRPr="009A6527">
              <w:rPr>
                <w:rFonts w:ascii="Times New Roman" w:hAnsi="Times New Roman"/>
                <w:sz w:val="20"/>
                <w:szCs w:val="20"/>
              </w:rPr>
              <w:t>2. Марлевые салфетки 10×10 см, впитывающие, многослойные не менее 8 слоев – 10 шт3.Простыня большая операционная 150×250 см защитная на стол представляет водоотталкивающее прочное покрытие из водоотталкивающего полиэтилена с термоприпаеной центральной частью из водопоглощающего нетканого материала с впитывающей способностью более 100 % – 1 шт4. Карман двухсекционный с липким краем – 1 шт</w:t>
            </w:r>
          </w:p>
        </w:tc>
      </w:tr>
      <w:tr w:rsidR="0095637F" w:rsidRPr="006D485E" w:rsidTr="00180112">
        <w:trPr>
          <w:trHeight w:val="170"/>
        </w:trPr>
        <w:tc>
          <w:tcPr>
            <w:tcW w:w="852" w:type="dxa"/>
            <w:tcBorders>
              <w:right w:val="single" w:sz="4" w:space="0" w:color="auto"/>
            </w:tcBorders>
            <w:shd w:val="clear" w:color="auto" w:fill="auto"/>
          </w:tcPr>
          <w:p w:rsidR="0095637F" w:rsidRPr="006D485E" w:rsidRDefault="0095637F" w:rsidP="0095637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95637F" w:rsidRPr="009A6527" w:rsidRDefault="0095637F" w:rsidP="0095637F">
            <w:pPr>
              <w:pStyle w:val="ab"/>
              <w:rPr>
                <w:rFonts w:ascii="Times New Roman" w:hAnsi="Times New Roman"/>
                <w:color w:val="000000" w:themeColor="text1"/>
                <w:sz w:val="20"/>
                <w:szCs w:val="20"/>
              </w:rPr>
            </w:pPr>
            <w:r w:rsidRPr="009A6527">
              <w:rPr>
                <w:rFonts w:ascii="Times New Roman" w:hAnsi="Times New Roman"/>
                <w:color w:val="000000" w:themeColor="text1"/>
                <w:sz w:val="20"/>
                <w:szCs w:val="20"/>
              </w:rPr>
              <w:t xml:space="preserve">Аппликатор с гибким наконечником, с отсосом 6мм, длина 65см </w:t>
            </w:r>
          </w:p>
        </w:tc>
        <w:tc>
          <w:tcPr>
            <w:tcW w:w="11996" w:type="dxa"/>
            <w:tcBorders>
              <w:top w:val="nil"/>
              <w:left w:val="nil"/>
              <w:bottom w:val="single" w:sz="4" w:space="0" w:color="auto"/>
              <w:right w:val="single" w:sz="4" w:space="0" w:color="auto"/>
            </w:tcBorders>
            <w:shd w:val="clear" w:color="000000" w:fill="FFFFFF"/>
            <w:vAlign w:val="center"/>
          </w:tcPr>
          <w:p w:rsidR="0095637F" w:rsidRPr="009A6527" w:rsidRDefault="0095637F" w:rsidP="0095637F">
            <w:pPr>
              <w:pStyle w:val="ab"/>
              <w:rPr>
                <w:rFonts w:ascii="Times New Roman" w:hAnsi="Times New Roman"/>
                <w:color w:val="000000" w:themeColor="text1"/>
                <w:sz w:val="20"/>
                <w:szCs w:val="20"/>
              </w:rPr>
            </w:pPr>
            <w:r w:rsidRPr="009A6527">
              <w:rPr>
                <w:rFonts w:ascii="Times New Roman" w:hAnsi="Times New Roman"/>
                <w:color w:val="000000" w:themeColor="text1"/>
                <w:sz w:val="20"/>
                <w:szCs w:val="20"/>
              </w:rPr>
              <w:t>Аппликатор с гибким наконечником,с отсосом 6мм, длина65см 20150-031</w:t>
            </w:r>
          </w:p>
        </w:tc>
      </w:tr>
      <w:tr w:rsidR="0095637F" w:rsidRPr="006D485E" w:rsidTr="00E82466">
        <w:trPr>
          <w:trHeight w:val="170"/>
        </w:trPr>
        <w:tc>
          <w:tcPr>
            <w:tcW w:w="852" w:type="dxa"/>
            <w:tcBorders>
              <w:right w:val="single" w:sz="4" w:space="0" w:color="auto"/>
            </w:tcBorders>
            <w:shd w:val="clear" w:color="auto" w:fill="auto"/>
          </w:tcPr>
          <w:p w:rsidR="0095637F" w:rsidRPr="006D485E" w:rsidRDefault="0095637F" w:rsidP="0095637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95637F" w:rsidRPr="004E72FD" w:rsidRDefault="0095637F" w:rsidP="0095637F">
            <w:pPr>
              <w:pStyle w:val="ab"/>
              <w:rPr>
                <w:rFonts w:ascii="Times New Roman" w:hAnsi="Times New Roman"/>
                <w:sz w:val="20"/>
                <w:szCs w:val="20"/>
              </w:rPr>
            </w:pPr>
            <w:r w:rsidRPr="004E72FD">
              <w:rPr>
                <w:rFonts w:ascii="Times New Roman" w:hAnsi="Times New Roman"/>
                <w:sz w:val="20"/>
                <w:szCs w:val="20"/>
              </w:rPr>
              <w:t xml:space="preserve">Щетки </w:t>
            </w:r>
          </w:p>
        </w:tc>
        <w:tc>
          <w:tcPr>
            <w:tcW w:w="11996" w:type="dxa"/>
            <w:tcBorders>
              <w:top w:val="nil"/>
              <w:left w:val="nil"/>
              <w:bottom w:val="single" w:sz="4" w:space="0" w:color="auto"/>
              <w:right w:val="single" w:sz="4" w:space="0" w:color="auto"/>
            </w:tcBorders>
            <w:shd w:val="clear" w:color="000000" w:fill="FFFFFF"/>
            <w:vAlign w:val="center"/>
          </w:tcPr>
          <w:p w:rsidR="0095637F" w:rsidRPr="004E72FD" w:rsidRDefault="0095637F" w:rsidP="0095637F">
            <w:pPr>
              <w:pStyle w:val="ab"/>
              <w:rPr>
                <w:rFonts w:ascii="Times New Roman" w:hAnsi="Times New Roman"/>
                <w:sz w:val="20"/>
                <w:szCs w:val="20"/>
              </w:rPr>
            </w:pPr>
            <w:r w:rsidRPr="004E72FD">
              <w:rPr>
                <w:rFonts w:ascii="Times New Roman" w:hAnsi="Times New Roman"/>
                <w:sz w:val="20"/>
                <w:szCs w:val="20"/>
              </w:rPr>
              <w:t xml:space="preserve">Щетки </w:t>
            </w:r>
            <w:r>
              <w:rPr>
                <w:rFonts w:ascii="Times New Roman" w:hAnsi="Times New Roman"/>
                <w:sz w:val="20"/>
                <w:szCs w:val="20"/>
                <w:lang w:val="kk-KZ"/>
              </w:rPr>
              <w:t>д</w:t>
            </w:r>
            <w:r w:rsidRPr="004E72FD">
              <w:rPr>
                <w:rFonts w:ascii="Times New Roman" w:hAnsi="Times New Roman"/>
                <w:sz w:val="20"/>
                <w:szCs w:val="20"/>
              </w:rPr>
              <w:t>ля чистки внутренних каналов эндоскопов.</w:t>
            </w:r>
            <w:r>
              <w:rPr>
                <w:rFonts w:ascii="Times New Roman" w:hAnsi="Times New Roman"/>
                <w:sz w:val="20"/>
                <w:szCs w:val="20"/>
                <w:lang w:val="kk-KZ"/>
              </w:rPr>
              <w:t xml:space="preserve"> </w:t>
            </w:r>
            <w:r w:rsidRPr="004E72FD">
              <w:rPr>
                <w:rFonts w:ascii="Times New Roman" w:hAnsi="Times New Roman"/>
                <w:sz w:val="20"/>
                <w:szCs w:val="20"/>
              </w:rPr>
              <w:t xml:space="preserve">Рабочая длина 2200мм диаметр канала 1,4-2,6 </w:t>
            </w:r>
          </w:p>
        </w:tc>
      </w:tr>
      <w:tr w:rsidR="0095637F" w:rsidRPr="006D485E" w:rsidTr="00E82466">
        <w:trPr>
          <w:trHeight w:val="170"/>
        </w:trPr>
        <w:tc>
          <w:tcPr>
            <w:tcW w:w="852" w:type="dxa"/>
            <w:tcBorders>
              <w:right w:val="single" w:sz="4" w:space="0" w:color="auto"/>
            </w:tcBorders>
            <w:shd w:val="clear" w:color="auto" w:fill="auto"/>
          </w:tcPr>
          <w:p w:rsidR="0095637F" w:rsidRPr="006D485E" w:rsidRDefault="0095637F" w:rsidP="0095637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95637F" w:rsidRPr="004E72FD" w:rsidRDefault="0095637F" w:rsidP="0095637F">
            <w:pPr>
              <w:pStyle w:val="ab"/>
              <w:rPr>
                <w:rFonts w:ascii="Times New Roman" w:hAnsi="Times New Roman"/>
                <w:sz w:val="20"/>
                <w:szCs w:val="20"/>
              </w:rPr>
            </w:pPr>
            <w:r w:rsidRPr="004E72FD">
              <w:rPr>
                <w:rFonts w:ascii="Times New Roman" w:hAnsi="Times New Roman"/>
                <w:sz w:val="20"/>
                <w:szCs w:val="20"/>
              </w:rPr>
              <w:t xml:space="preserve">Щетки </w:t>
            </w:r>
          </w:p>
        </w:tc>
        <w:tc>
          <w:tcPr>
            <w:tcW w:w="11996" w:type="dxa"/>
            <w:tcBorders>
              <w:top w:val="nil"/>
              <w:left w:val="nil"/>
              <w:bottom w:val="single" w:sz="4" w:space="0" w:color="auto"/>
              <w:right w:val="single" w:sz="4" w:space="0" w:color="auto"/>
            </w:tcBorders>
            <w:shd w:val="clear" w:color="000000" w:fill="FFFFFF"/>
            <w:vAlign w:val="center"/>
          </w:tcPr>
          <w:p w:rsidR="0095637F" w:rsidRPr="004E72FD" w:rsidRDefault="0095637F" w:rsidP="0095637F">
            <w:pPr>
              <w:pStyle w:val="ab"/>
              <w:rPr>
                <w:rFonts w:ascii="Times New Roman" w:hAnsi="Times New Roman"/>
                <w:sz w:val="20"/>
                <w:szCs w:val="20"/>
              </w:rPr>
            </w:pPr>
            <w:r w:rsidRPr="004E72FD">
              <w:rPr>
                <w:rFonts w:ascii="Times New Roman" w:hAnsi="Times New Roman"/>
                <w:sz w:val="20"/>
                <w:szCs w:val="20"/>
              </w:rPr>
              <w:t xml:space="preserve">Щетки </w:t>
            </w:r>
            <w:r>
              <w:rPr>
                <w:rFonts w:ascii="Times New Roman" w:hAnsi="Times New Roman"/>
                <w:sz w:val="20"/>
                <w:szCs w:val="20"/>
                <w:lang w:val="kk-KZ"/>
              </w:rPr>
              <w:t>д</w:t>
            </w:r>
            <w:r w:rsidRPr="004E72FD">
              <w:rPr>
                <w:rFonts w:ascii="Times New Roman" w:hAnsi="Times New Roman"/>
                <w:sz w:val="20"/>
                <w:szCs w:val="20"/>
              </w:rPr>
              <w:t>ля чистки внутренних каналов эндоскопов.</w:t>
            </w:r>
            <w:r>
              <w:rPr>
                <w:rFonts w:ascii="Times New Roman" w:hAnsi="Times New Roman"/>
                <w:sz w:val="20"/>
                <w:szCs w:val="20"/>
                <w:lang w:val="kk-KZ"/>
              </w:rPr>
              <w:t xml:space="preserve"> </w:t>
            </w:r>
            <w:r w:rsidRPr="004E72FD">
              <w:rPr>
                <w:rFonts w:ascii="Times New Roman" w:hAnsi="Times New Roman"/>
                <w:sz w:val="20"/>
                <w:szCs w:val="20"/>
              </w:rPr>
              <w:t xml:space="preserve">Рабочая длина 2200мм диаметр канала 2,8-5 </w:t>
            </w:r>
          </w:p>
        </w:tc>
      </w:tr>
      <w:tr w:rsidR="0095637F" w:rsidRPr="006D485E" w:rsidTr="00180112">
        <w:trPr>
          <w:trHeight w:val="170"/>
        </w:trPr>
        <w:tc>
          <w:tcPr>
            <w:tcW w:w="852" w:type="dxa"/>
            <w:tcBorders>
              <w:right w:val="single" w:sz="4" w:space="0" w:color="auto"/>
            </w:tcBorders>
            <w:shd w:val="clear" w:color="auto" w:fill="auto"/>
          </w:tcPr>
          <w:p w:rsidR="0095637F" w:rsidRPr="006D485E" w:rsidRDefault="0095637F" w:rsidP="0095637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95637F" w:rsidRPr="00C81A5C" w:rsidRDefault="0095637F" w:rsidP="0095637F">
            <w:pPr>
              <w:pStyle w:val="ab"/>
              <w:rPr>
                <w:rFonts w:ascii="Times New Roman" w:hAnsi="Times New Roman"/>
                <w:sz w:val="20"/>
                <w:szCs w:val="20"/>
              </w:rPr>
            </w:pPr>
            <w:r w:rsidRPr="00C81A5C">
              <w:rPr>
                <w:rFonts w:ascii="Times New Roman" w:hAnsi="Times New Roman"/>
                <w:sz w:val="20"/>
                <w:szCs w:val="20"/>
              </w:rPr>
              <w:t xml:space="preserve">Мирокатетер для доставки спиралей </w:t>
            </w:r>
          </w:p>
        </w:tc>
        <w:tc>
          <w:tcPr>
            <w:tcW w:w="11996" w:type="dxa"/>
            <w:tcBorders>
              <w:top w:val="nil"/>
              <w:left w:val="nil"/>
              <w:bottom w:val="single" w:sz="4" w:space="0" w:color="auto"/>
              <w:right w:val="single" w:sz="4" w:space="0" w:color="auto"/>
            </w:tcBorders>
            <w:shd w:val="clear" w:color="000000" w:fill="FFFFFF"/>
            <w:vAlign w:val="center"/>
          </w:tcPr>
          <w:p w:rsidR="0095637F" w:rsidRPr="00C81A5C" w:rsidRDefault="0095637F" w:rsidP="0095637F">
            <w:pPr>
              <w:pStyle w:val="ab"/>
              <w:rPr>
                <w:rFonts w:ascii="Times New Roman" w:hAnsi="Times New Roman"/>
                <w:sz w:val="20"/>
                <w:szCs w:val="20"/>
              </w:rPr>
            </w:pPr>
            <w:r w:rsidRPr="00C81A5C">
              <w:rPr>
                <w:rFonts w:ascii="Times New Roman" w:hAnsi="Times New Roman"/>
                <w:sz w:val="20"/>
                <w:szCs w:val="20"/>
              </w:rPr>
              <w:t>Гидрофильный стерильный микрокатетер диаметром 2.95F/2.6F и внутренним просветом 0.025" для выполнения доставки эмболизационных спиралей. Катетер должен иметь 8 переходных зон, коническую форму и два рентгенконтрастных маркера на конце. Наличие двойной нитиноловой оплетки по всей длине, покрытия из полимера и эластичного дистального кончика. Совместим с проводником ≤0.020". Общая длина: 153см, рабочая длина: 150 см, тип кончика: прямой, 45, 90, 130</w:t>
            </w:r>
          </w:p>
        </w:tc>
      </w:tr>
      <w:tr w:rsidR="0095637F" w:rsidRPr="006D485E" w:rsidTr="00E82466">
        <w:trPr>
          <w:trHeight w:val="170"/>
        </w:trPr>
        <w:tc>
          <w:tcPr>
            <w:tcW w:w="852" w:type="dxa"/>
            <w:tcBorders>
              <w:right w:val="single" w:sz="4" w:space="0" w:color="auto"/>
            </w:tcBorders>
            <w:shd w:val="clear" w:color="auto" w:fill="auto"/>
          </w:tcPr>
          <w:p w:rsidR="0095637F" w:rsidRPr="006D485E" w:rsidRDefault="0095637F" w:rsidP="0095637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95637F" w:rsidRPr="006D5E3D" w:rsidRDefault="0095637F" w:rsidP="0095637F">
            <w:pPr>
              <w:pStyle w:val="ab"/>
              <w:rPr>
                <w:rFonts w:ascii="Times New Roman" w:hAnsi="Times New Roman"/>
                <w:sz w:val="20"/>
                <w:szCs w:val="20"/>
              </w:rPr>
            </w:pPr>
            <w:r w:rsidRPr="006D5E3D">
              <w:rPr>
                <w:rFonts w:ascii="Times New Roman" w:hAnsi="Times New Roman"/>
                <w:sz w:val="20"/>
                <w:szCs w:val="20"/>
              </w:rPr>
              <w:t xml:space="preserve">Окклюдер-спираль для закрытия открытого артериального протока </w:t>
            </w:r>
          </w:p>
        </w:tc>
        <w:tc>
          <w:tcPr>
            <w:tcW w:w="11996" w:type="dxa"/>
            <w:tcBorders>
              <w:top w:val="nil"/>
              <w:left w:val="nil"/>
              <w:bottom w:val="single" w:sz="4" w:space="0" w:color="auto"/>
              <w:right w:val="single" w:sz="4" w:space="0" w:color="auto"/>
            </w:tcBorders>
            <w:shd w:val="clear" w:color="000000" w:fill="FFFFFF"/>
            <w:vAlign w:val="center"/>
          </w:tcPr>
          <w:p w:rsidR="0095637F" w:rsidRPr="006D5E3D" w:rsidRDefault="0095637F" w:rsidP="0095637F">
            <w:pPr>
              <w:pStyle w:val="ab"/>
              <w:rPr>
                <w:rFonts w:ascii="Times New Roman" w:hAnsi="Times New Roman"/>
                <w:sz w:val="20"/>
                <w:szCs w:val="20"/>
              </w:rPr>
            </w:pPr>
            <w:r w:rsidRPr="006D5E3D">
              <w:rPr>
                <w:rFonts w:ascii="Times New Roman" w:hAnsi="Times New Roman"/>
                <w:sz w:val="20"/>
                <w:szCs w:val="20"/>
              </w:rPr>
              <w:t>Имплантат (PDA) предназначенный для лечения ОАП. Комплектация системы: интродьюсер, проводник, Y конектор, имплантат, установленный в доставляющую систему. Основные технические характеристики: материал имплантата никель титановый сплав, исполненный в виде спирали. Система доставки представлена в виде нитинолового проводника с тефлоновым покрытием. Имплантат размерами (наружный диаметр дистальный/проксимальный): 4/4; 5/4; 6/5мм.</w:t>
            </w:r>
          </w:p>
        </w:tc>
      </w:tr>
      <w:tr w:rsidR="0095637F" w:rsidRPr="006D485E" w:rsidTr="00E82466">
        <w:trPr>
          <w:trHeight w:val="170"/>
        </w:trPr>
        <w:tc>
          <w:tcPr>
            <w:tcW w:w="852" w:type="dxa"/>
            <w:tcBorders>
              <w:right w:val="single" w:sz="4" w:space="0" w:color="auto"/>
            </w:tcBorders>
            <w:shd w:val="clear" w:color="auto" w:fill="auto"/>
          </w:tcPr>
          <w:p w:rsidR="0095637F" w:rsidRPr="006D485E" w:rsidRDefault="0095637F" w:rsidP="0095637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95637F" w:rsidRPr="00513236" w:rsidRDefault="0095637F" w:rsidP="0095637F">
            <w:pPr>
              <w:pStyle w:val="ab"/>
              <w:jc w:val="both"/>
              <w:rPr>
                <w:rFonts w:ascii="Times New Roman" w:hAnsi="Times New Roman"/>
                <w:sz w:val="20"/>
                <w:szCs w:val="20"/>
                <w:lang w:val="kk-KZ"/>
              </w:rPr>
            </w:pPr>
            <w:r w:rsidRPr="00513236">
              <w:rPr>
                <w:rFonts w:ascii="Times New Roman" w:hAnsi="Times New Roman"/>
                <w:sz w:val="20"/>
                <w:szCs w:val="20"/>
                <w:lang w:val="kk-KZ"/>
              </w:rPr>
              <w:t xml:space="preserve">Oксигенатор Экмо </w:t>
            </w:r>
            <w:r w:rsidRPr="002C6729">
              <w:rPr>
                <w:rFonts w:ascii="Times New Roman" w:hAnsi="Times New Roman"/>
                <w:sz w:val="20"/>
                <w:szCs w:val="20"/>
                <w:lang w:val="kk-KZ"/>
              </w:rPr>
              <w:t>для новорожденных</w:t>
            </w:r>
          </w:p>
        </w:tc>
        <w:tc>
          <w:tcPr>
            <w:tcW w:w="11996" w:type="dxa"/>
            <w:tcBorders>
              <w:top w:val="nil"/>
              <w:left w:val="nil"/>
              <w:bottom w:val="single" w:sz="4" w:space="0" w:color="auto"/>
              <w:right w:val="single" w:sz="4" w:space="0" w:color="auto"/>
            </w:tcBorders>
            <w:shd w:val="clear" w:color="000000" w:fill="FFFFFF"/>
            <w:vAlign w:val="center"/>
          </w:tcPr>
          <w:p w:rsidR="0095637F" w:rsidRPr="00513236" w:rsidRDefault="0095637F" w:rsidP="0095637F">
            <w:pPr>
              <w:pStyle w:val="ab"/>
              <w:jc w:val="both"/>
              <w:rPr>
                <w:rFonts w:ascii="Times New Roman" w:hAnsi="Times New Roman"/>
                <w:sz w:val="20"/>
                <w:szCs w:val="20"/>
              </w:rPr>
            </w:pPr>
            <w:r w:rsidRPr="002C6729">
              <w:rPr>
                <w:rFonts w:ascii="Times New Roman" w:hAnsi="Times New Roman"/>
                <w:sz w:val="20"/>
                <w:szCs w:val="20"/>
              </w:rPr>
              <w:t>Тип оксигенатора - Мембранный, половолоконный. Площадь мембраны оксигенатора, не более - 0,32 м.кв. Давление разрыва волокон, не менее - 300  кПа. Максимальный кровоток, не более - 0,8 л/мин. Объем заполнения, не менее - 55 мл. Наличие венозной камеры с шунтом. Рекомендованная фракция кислорода при максимальной производительности, не более - 80 %. Линия рециркуляции/удаления воздуха из оксигенатора с магистралью. Линия отбора проб оксигенированной крови. Порт для подключения кардиоплегии. Диаметр порта  входа/выхода  крови - ¼ дюйм. Тип теплообменника - встроен в оксигенатор. Коэффициент теплообмена при скорости 1,0 л/мин., не менее - 0,5. Диаметр портов для подключения  терморегулирующего  устройства - ¼ дюйм. Материал теплообменника - полиэстер. Площадь теплообменника, не менее - 0,074 м.кв. Покрытие - Реопарин.</w:t>
            </w:r>
          </w:p>
        </w:tc>
      </w:tr>
      <w:tr w:rsidR="0095637F" w:rsidRPr="006D485E" w:rsidTr="00E82466">
        <w:trPr>
          <w:trHeight w:val="170"/>
        </w:trPr>
        <w:tc>
          <w:tcPr>
            <w:tcW w:w="852" w:type="dxa"/>
            <w:tcBorders>
              <w:right w:val="single" w:sz="4" w:space="0" w:color="auto"/>
            </w:tcBorders>
            <w:shd w:val="clear" w:color="auto" w:fill="auto"/>
          </w:tcPr>
          <w:p w:rsidR="0095637F" w:rsidRPr="006D485E" w:rsidRDefault="0095637F" w:rsidP="0095637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2619" w:type="dxa"/>
            <w:tcBorders>
              <w:top w:val="nil"/>
              <w:left w:val="nil"/>
              <w:bottom w:val="single" w:sz="4" w:space="0" w:color="auto"/>
              <w:right w:val="single" w:sz="4" w:space="0" w:color="auto"/>
            </w:tcBorders>
            <w:shd w:val="clear" w:color="000000" w:fill="FFFFFF"/>
            <w:vAlign w:val="center"/>
          </w:tcPr>
          <w:p w:rsidR="0095637F" w:rsidRPr="002C6729" w:rsidRDefault="0095637F" w:rsidP="0095637F">
            <w:pPr>
              <w:pStyle w:val="ab"/>
              <w:rPr>
                <w:rFonts w:ascii="Times New Roman" w:hAnsi="Times New Roman"/>
                <w:sz w:val="20"/>
                <w:szCs w:val="20"/>
              </w:rPr>
            </w:pPr>
            <w:r w:rsidRPr="002C6729">
              <w:rPr>
                <w:rFonts w:ascii="Times New Roman" w:hAnsi="Times New Roman"/>
                <w:sz w:val="20"/>
                <w:szCs w:val="20"/>
              </w:rPr>
              <w:t>Oксигенатор Экмо педиатрический</w:t>
            </w:r>
          </w:p>
        </w:tc>
        <w:tc>
          <w:tcPr>
            <w:tcW w:w="11996" w:type="dxa"/>
            <w:tcBorders>
              <w:top w:val="nil"/>
              <w:left w:val="nil"/>
              <w:bottom w:val="single" w:sz="4" w:space="0" w:color="auto"/>
              <w:right w:val="single" w:sz="4" w:space="0" w:color="auto"/>
            </w:tcBorders>
            <w:shd w:val="clear" w:color="000000" w:fill="FFFFFF"/>
            <w:vAlign w:val="center"/>
          </w:tcPr>
          <w:p w:rsidR="0095637F" w:rsidRPr="002C6729" w:rsidRDefault="0095637F" w:rsidP="0095637F">
            <w:pPr>
              <w:pStyle w:val="ab"/>
              <w:rPr>
                <w:rFonts w:ascii="Times New Roman" w:hAnsi="Times New Roman"/>
                <w:sz w:val="20"/>
                <w:szCs w:val="20"/>
              </w:rPr>
            </w:pPr>
            <w:r w:rsidRPr="002C6729">
              <w:rPr>
                <w:rFonts w:ascii="Times New Roman" w:hAnsi="Times New Roman"/>
                <w:sz w:val="20"/>
                <w:szCs w:val="20"/>
              </w:rPr>
              <w:t>Тип оксигенатора - Мембранный, половолоконный. Площадь мембраны оксигенатора, не более - 0,65 м.кв. Давление разрыва волокон, не менее - 300  кПа. Максимальный кровоток, не более - 2,4 л/мин. Объем заполнения, не менее - 98 мл. Наличие венозной камеры с шунтом. Рекомендованная фракция кислорода при максимальной производительности, не более - 80 %. Линия рециркуляции/удаления воздуха из оксигенатора с магистралью. Линия отбора проб оксигенированной крови. Порт для подключения кардиоплегии. Диаметр порта  входа/выхода  крови - ¼ дюйм. Тип теплообменника - встроен в оксигенатор. Коэффициент теплообмена при скорости 1,0 л/мин., не менее - 0,5. Диаметр портов для подключения  терморегулирующего  устройства - ¼ дюйм. Материал теплообменника - полиэстер. Площадь теплообменника, не менее - 0,16 м.кв. Покрытие - Реопарин.</w:t>
            </w:r>
          </w:p>
        </w:tc>
      </w:tr>
    </w:tbl>
    <w:p w:rsidR="003B26F5" w:rsidRPr="0095637F" w:rsidRDefault="003B26F5">
      <w:pPr>
        <w:spacing w:after="0" w:line="240" w:lineRule="auto"/>
        <w:rPr>
          <w:rFonts w:ascii="Times New Roman" w:hAnsi="Times New Roman" w:cs="Times New Roman"/>
          <w:b/>
          <w:sz w:val="20"/>
          <w:szCs w:val="20"/>
        </w:rPr>
      </w:pP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Pr="003B26F5" w:rsidRDefault="003B26F5">
      <w:pPr>
        <w:spacing w:after="0" w:line="240" w:lineRule="auto"/>
        <w:rPr>
          <w:rFonts w:ascii="Times New Roman" w:hAnsi="Times New Roman" w:cs="Times New Roman"/>
          <w:b/>
          <w:sz w:val="20"/>
          <w:szCs w:val="20"/>
          <w:lang w:val="kk-KZ"/>
        </w:rPr>
      </w:pPr>
    </w:p>
    <w:sectPr w:rsidR="003B26F5" w:rsidRPr="003B26F5" w:rsidSect="003B26F5">
      <w:headerReference w:type="default" r:id="rId8"/>
      <w:footerReference w:type="default" r:id="rId9"/>
      <w:pgSz w:w="16838" w:h="11906" w:orient="landscape"/>
      <w:pgMar w:top="-340" w:right="539" w:bottom="0" w:left="1276" w:header="397" w:footer="284"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E9E" w:rsidRDefault="00487E9E" w:rsidP="00D118D2">
      <w:pPr>
        <w:spacing w:after="0" w:line="240" w:lineRule="auto"/>
      </w:pPr>
      <w:r>
        <w:separator/>
      </w:r>
    </w:p>
  </w:endnote>
  <w:endnote w:type="continuationSeparator" w:id="0">
    <w:p w:rsidR="00487E9E" w:rsidRDefault="00487E9E" w:rsidP="00D11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D2" w:rsidRPr="00D118D2" w:rsidRDefault="00D118D2" w:rsidP="00D118D2">
    <w:pPr>
      <w:pStyle w:val="a6"/>
      <w:jc w:val="right"/>
      <w:rPr>
        <w:lang w:val="kk-KZ"/>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E9E" w:rsidRDefault="00487E9E" w:rsidP="00D118D2">
      <w:pPr>
        <w:spacing w:after="0" w:line="240" w:lineRule="auto"/>
      </w:pPr>
      <w:r>
        <w:separator/>
      </w:r>
    </w:p>
  </w:footnote>
  <w:footnote w:type="continuationSeparator" w:id="0">
    <w:p w:rsidR="00487E9E" w:rsidRDefault="00487E9E" w:rsidP="00D118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738" w:rsidRDefault="00346738" w:rsidP="000A7362">
    <w:pPr>
      <w:pStyle w:val="a4"/>
      <w:tabs>
        <w:tab w:val="left" w:pos="5460"/>
      </w:tabs>
    </w:pPr>
  </w:p>
  <w:p w:rsidR="000A7362" w:rsidRDefault="000A7362" w:rsidP="003B26F5">
    <w:pPr>
      <w:pStyle w:val="a4"/>
      <w:tabs>
        <w:tab w:val="left" w:pos="54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376B28"/>
    <w:multiLevelType w:val="hybridMultilevel"/>
    <w:tmpl w:val="3EEEB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10610B1"/>
    <w:multiLevelType w:val="hybridMultilevel"/>
    <w:tmpl w:val="2AB4ABFA"/>
    <w:lvl w:ilvl="0" w:tplc="0419000F">
      <w:start w:val="1"/>
      <w:numFmt w:val="decimal"/>
      <w:lvlText w:val="%1."/>
      <w:lvlJc w:val="left"/>
      <w:pPr>
        <w:ind w:left="19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EA6"/>
    <w:rsid w:val="000258CD"/>
    <w:rsid w:val="000A7362"/>
    <w:rsid w:val="00171263"/>
    <w:rsid w:val="00201D3B"/>
    <w:rsid w:val="002220F9"/>
    <w:rsid w:val="00256FA5"/>
    <w:rsid w:val="0028379C"/>
    <w:rsid w:val="002A43AF"/>
    <w:rsid w:val="002B330C"/>
    <w:rsid w:val="002D05D5"/>
    <w:rsid w:val="002D38F9"/>
    <w:rsid w:val="00313C78"/>
    <w:rsid w:val="00322C49"/>
    <w:rsid w:val="003407D1"/>
    <w:rsid w:val="00346738"/>
    <w:rsid w:val="003A581C"/>
    <w:rsid w:val="003B26F5"/>
    <w:rsid w:val="00441A44"/>
    <w:rsid w:val="00487E9E"/>
    <w:rsid w:val="004959F6"/>
    <w:rsid w:val="004B61A2"/>
    <w:rsid w:val="004C424A"/>
    <w:rsid w:val="004C4DD5"/>
    <w:rsid w:val="00505B63"/>
    <w:rsid w:val="00525FC1"/>
    <w:rsid w:val="0053064F"/>
    <w:rsid w:val="005316B5"/>
    <w:rsid w:val="00537718"/>
    <w:rsid w:val="00566A49"/>
    <w:rsid w:val="005E7B1B"/>
    <w:rsid w:val="00615931"/>
    <w:rsid w:val="00653EA6"/>
    <w:rsid w:val="0065482B"/>
    <w:rsid w:val="00663B7F"/>
    <w:rsid w:val="00687590"/>
    <w:rsid w:val="006A2ECA"/>
    <w:rsid w:val="006D485E"/>
    <w:rsid w:val="006E2365"/>
    <w:rsid w:val="006E28AA"/>
    <w:rsid w:val="00704FDF"/>
    <w:rsid w:val="00722B62"/>
    <w:rsid w:val="00725373"/>
    <w:rsid w:val="0084707A"/>
    <w:rsid w:val="0089471B"/>
    <w:rsid w:val="008C491C"/>
    <w:rsid w:val="008D50E4"/>
    <w:rsid w:val="008D6F7C"/>
    <w:rsid w:val="0095637F"/>
    <w:rsid w:val="00AF10E2"/>
    <w:rsid w:val="00B117BC"/>
    <w:rsid w:val="00B11F00"/>
    <w:rsid w:val="00B30CDB"/>
    <w:rsid w:val="00B50626"/>
    <w:rsid w:val="00B62A7C"/>
    <w:rsid w:val="00BC5302"/>
    <w:rsid w:val="00C17063"/>
    <w:rsid w:val="00C627E5"/>
    <w:rsid w:val="00C8214D"/>
    <w:rsid w:val="00CE1430"/>
    <w:rsid w:val="00D118D2"/>
    <w:rsid w:val="00DD5BDF"/>
    <w:rsid w:val="00DF69FD"/>
    <w:rsid w:val="00E16240"/>
    <w:rsid w:val="00E74A65"/>
    <w:rsid w:val="00E75B29"/>
    <w:rsid w:val="00E8455A"/>
    <w:rsid w:val="00E901DF"/>
    <w:rsid w:val="00EB47B0"/>
    <w:rsid w:val="00EF2FF0"/>
    <w:rsid w:val="00F149F3"/>
    <w:rsid w:val="00F36F23"/>
    <w:rsid w:val="00F559A9"/>
    <w:rsid w:val="00F750CA"/>
    <w:rsid w:val="00FA6E5F"/>
    <w:rsid w:val="00FE0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E5DC7389-D3E4-445C-AA07-AE71A414C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117B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link w:val="ac"/>
    <w:uiPriority w:val="1"/>
    <w:qFormat/>
    <w:rsid w:val="008D6F7C"/>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B11F00"/>
    <w:rPr>
      <w:rFonts w:ascii="Calibri" w:eastAsia="Times New Roman" w:hAnsi="Calibri" w:cs="Times New Roman"/>
      <w:lang w:eastAsia="ru-RU"/>
    </w:rPr>
  </w:style>
  <w:style w:type="character" w:customStyle="1" w:styleId="6">
    <w:name w:val="Основной текст6"/>
    <w:basedOn w:val="a0"/>
    <w:rsid w:val="0028379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rPr>
  </w:style>
  <w:style w:type="character" w:customStyle="1" w:styleId="BodytextBold">
    <w:name w:val="Body text + Bold"/>
    <w:basedOn w:val="a0"/>
    <w:rsid w:val="0028379C"/>
    <w:rPr>
      <w:rFonts w:ascii="Times New Roman" w:eastAsia="Times New Roman" w:hAnsi="Times New Roman" w:cs="Times New Roman"/>
      <w:b/>
      <w:bCs/>
      <w:i w:val="0"/>
      <w:iCs w:val="0"/>
      <w:smallCaps w:val="0"/>
      <w:strike w:val="0"/>
      <w:color w:val="000000"/>
      <w:spacing w:val="0"/>
      <w:w w:val="100"/>
      <w:position w:val="0"/>
      <w:sz w:val="20"/>
      <w:szCs w:val="20"/>
      <w:u w:val="none"/>
      <w:lang w:val="en-US"/>
    </w:rPr>
  </w:style>
  <w:style w:type="table" w:styleId="ad">
    <w:name w:val="Table Grid"/>
    <w:basedOn w:val="a1"/>
    <w:uiPriority w:val="59"/>
    <w:rsid w:val="0028379C"/>
    <w:pPr>
      <w:spacing w:after="0" w:line="240" w:lineRule="auto"/>
    </w:pPr>
    <w:rPr>
      <w:rFonts w:eastAsiaTheme="minorEastAsia"/>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B30CDB"/>
    <w:rPr>
      <w:color w:val="808080"/>
    </w:rPr>
  </w:style>
  <w:style w:type="character" w:customStyle="1" w:styleId="10">
    <w:name w:val="Заголовок 1 Знак"/>
    <w:basedOn w:val="a0"/>
    <w:link w:val="1"/>
    <w:uiPriority w:val="9"/>
    <w:rsid w:val="00B117BC"/>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270219">
      <w:bodyDiv w:val="1"/>
      <w:marLeft w:val="0"/>
      <w:marRight w:val="0"/>
      <w:marTop w:val="0"/>
      <w:marBottom w:val="0"/>
      <w:divBdr>
        <w:top w:val="none" w:sz="0" w:space="0" w:color="auto"/>
        <w:left w:val="none" w:sz="0" w:space="0" w:color="auto"/>
        <w:bottom w:val="none" w:sz="0" w:space="0" w:color="auto"/>
        <w:right w:val="none" w:sz="0" w:space="0" w:color="auto"/>
      </w:divBdr>
    </w:div>
    <w:div w:id="870532300">
      <w:bodyDiv w:val="1"/>
      <w:marLeft w:val="0"/>
      <w:marRight w:val="0"/>
      <w:marTop w:val="0"/>
      <w:marBottom w:val="0"/>
      <w:divBdr>
        <w:top w:val="none" w:sz="0" w:space="0" w:color="auto"/>
        <w:left w:val="none" w:sz="0" w:space="0" w:color="auto"/>
        <w:bottom w:val="none" w:sz="0" w:space="0" w:color="auto"/>
        <w:right w:val="none" w:sz="0" w:space="0" w:color="auto"/>
      </w:divBdr>
    </w:div>
    <w:div w:id="19022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C4BAF-D7D9-4BB8-BB7B-DFFBEFB12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1378</Words>
  <Characters>7855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Мединам Бауржан Дамиркаулы</cp:lastModifiedBy>
  <cp:revision>3</cp:revision>
  <cp:lastPrinted>2019-12-19T08:45:00Z</cp:lastPrinted>
  <dcterms:created xsi:type="dcterms:W3CDTF">2022-02-26T03:42:00Z</dcterms:created>
  <dcterms:modified xsi:type="dcterms:W3CDTF">2022-03-30T10:14:00Z</dcterms:modified>
</cp:coreProperties>
</file>